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APPENDIX 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Pastoral Positions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Transitional Ministry Review Form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Transitional Ministry Report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_______________________________Church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______________________, Transitional Pastor Period of this report: 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Status of each task is rated: Good, Monitor, or Problem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 Coming to Terms with History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1.1 Purpose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Putting the tenure of the last pastor and former pastors in perspective.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Acknowledging the past and accepting the good and the bad.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Deciding what is important and worthwhile to carry into the future.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Appropriate ventilation of feelings, grieving, accepting, and moving on.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Observations/Proposed Events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 Discovering a New Identity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2.1 Purpose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Determining whether the congregation’s self-image is realistic.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Determining the congregation’s context for ministry and unmet needs.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Seeing the interim time as an opportunity for renewal and growth.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Separation of the church’s identity from the former pastor’s personality and style.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2.2 Observations /Proposed Event(s)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Status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3 Strengthening the Patterns of Lay Leadership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3.1 Purpose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Review how decisions are made. Is the process healthy, realistic, and open?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What groupings/people have undue control of the congregation?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Managing conflicts.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Honoring past leaders and finding ways to keep them involved.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Providing respite for burned out leaders.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3.2 Observations /Proposed Event(s)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Status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✗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4 Strengthening Denominational Ties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4.1 Purpose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Strengthen a healthy partnership with the Presbytery of Chicago, the Synod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of Lincoln Trails, and the Presbyterian Church (U.S.A.).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Value an interdependent relationship with judicatories apart from the former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pastor’s experience.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4.2 Observations /Proposed Event(s)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Status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5 Preparing for New Leadership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5.1 Purpose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Consensus and excitement over new mission and vision statement.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Getting a good match between the congregation and the pastor.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Clear expectations between clergy and congregation.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Clean exit of transitional pastor with service of completion and good-bye.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5.2 Observations /Proposed Event(s)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Status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